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0CCB0" w14:textId="77777777" w:rsidR="006E3BEF" w:rsidRDefault="006E3BEF" w:rsidP="006E3BEF">
      <w:pPr>
        <w:pStyle w:val="TEBISOberschrift1Ebene"/>
      </w:pPr>
      <w:r>
        <w:t>Bestandteile von Beton</w:t>
      </w:r>
    </w:p>
    <w:p w14:paraId="3BB96D4E" w14:textId="77777777" w:rsidR="006E3BEF" w:rsidRPr="00051526" w:rsidRDefault="006E3BEF" w:rsidP="006E3BEF">
      <w:pPr>
        <w:pStyle w:val="TEBISOUnterzeile"/>
      </w:pPr>
      <w:r w:rsidRPr="00051526">
        <w:rPr>
          <w:lang w:val="de-CH"/>
        </w:rPr>
        <w:t>Theorieblatt</w:t>
      </w:r>
    </w:p>
    <w:p w14:paraId="53A31C5B" w14:textId="77777777" w:rsidR="006E3BEF" w:rsidRDefault="006E3BEF" w:rsidP="006E3BEF">
      <w:pPr>
        <w:jc w:val="right"/>
      </w:pPr>
    </w:p>
    <w:p w14:paraId="3383B2CA" w14:textId="223519F5" w:rsidR="006E3BEF" w:rsidRDefault="006E3BEF" w:rsidP="006E3BEF">
      <w:r>
        <w:t xml:space="preserve"> </w:t>
      </w:r>
      <w:r>
        <w:rPr>
          <w:noProof/>
          <w:lang w:val="de-CH" w:eastAsia="de-CH"/>
        </w:rPr>
        <w:drawing>
          <wp:anchor distT="0" distB="0" distL="114300" distR="114300" simplePos="0" relativeHeight="251662336" behindDoc="0" locked="0" layoutInCell="1" allowOverlap="1" wp14:anchorId="72A7DC78" wp14:editId="2CC1E433">
            <wp:simplePos x="0" y="0"/>
            <wp:positionH relativeFrom="column">
              <wp:posOffset>2877185</wp:posOffset>
            </wp:positionH>
            <wp:positionV relativeFrom="paragraph">
              <wp:posOffset>109269</wp:posOffset>
            </wp:positionV>
            <wp:extent cx="2879725" cy="2302510"/>
            <wp:effectExtent l="0" t="0" r="0" b="2540"/>
            <wp:wrapSquare wrapText="bothSides"/>
            <wp:docPr id="6" name="Grafik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ighway-4635311_1920_Mircea Iancu_b.jpg"/>
                    <pic:cNvPicPr>
                      <a:picLocks noChangeAspect="1"/>
                    </pic:cNvPicPr>
                  </pic:nvPicPr>
                  <pic:blipFill>
                    <a:blip r:embed="rId8"/>
                    <a:stretch/>
                  </pic:blipFill>
                  <pic:spPr bwMode="auto">
                    <a:xfrm>
                      <a:off x="0" y="0"/>
                      <a:ext cx="2879725" cy="2302510"/>
                    </a:xfrm>
                    <a:prstGeom prst="rect">
                      <a:avLst/>
                    </a:prstGeom>
                  </pic:spPr>
                </pic:pic>
              </a:graphicData>
            </a:graphic>
          </wp:anchor>
        </w:drawing>
      </w:r>
      <w:r>
        <w:t xml:space="preserve">Skateparks, Gebäude, Staudämme, Autobahnen – ein </w:t>
      </w:r>
      <w:proofErr w:type="spellStart"/>
      <w:r>
        <w:t>Grossteil</w:t>
      </w:r>
      <w:proofErr w:type="spellEnd"/>
      <w:r>
        <w:t xml:space="preserve"> unserer gebauten Umgebung ist aus Beton. Beton ermöglicht das Bauen vielfältiger Formen und belastungsstarker Infrastruktur.</w:t>
      </w:r>
    </w:p>
    <w:p w14:paraId="5E6EC027" w14:textId="77777777" w:rsidR="006E3BEF" w:rsidRDefault="006E3BEF" w:rsidP="006E3BEF">
      <w:r>
        <w:t>Was macht diesen Baustoff so stark?</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248"/>
      </w:tblGrid>
      <w:tr w:rsidR="006E3BEF" w14:paraId="649E92DB" w14:textId="77777777" w:rsidTr="00717C67">
        <w:tc>
          <w:tcPr>
            <w:tcW w:w="4248" w:type="dxa"/>
            <w:shd w:val="clear" w:color="auto" w:fill="F2F2F2" w:themeFill="background1" w:themeFillShade="F2"/>
            <w:noWrap/>
            <w:tcMar>
              <w:top w:w="113" w:type="dxa"/>
              <w:left w:w="0" w:type="auto"/>
              <w:bottom w:w="113" w:type="dxa"/>
              <w:right w:w="0" w:type="auto"/>
            </w:tcMar>
          </w:tcPr>
          <w:p w14:paraId="59CE9107" w14:textId="1313BA80" w:rsidR="006E3BEF" w:rsidRDefault="006E3BEF" w:rsidP="006E3BEF">
            <w:pPr>
              <w:jc w:val="center"/>
              <w:rPr>
                <w:color w:val="FF0000"/>
              </w:rPr>
            </w:pPr>
            <w:r w:rsidRPr="006E3BEF">
              <w:rPr>
                <w:rStyle w:val="TEBISIOWorthervorhebung"/>
              </w:rPr>
              <w:t xml:space="preserve">Beton ist ein künstlich hergestellter Stein. </w:t>
            </w:r>
            <w:r w:rsidRPr="006E3BEF">
              <w:rPr>
                <w:rStyle w:val="TEBISIOWorthervorhebung"/>
              </w:rPr>
              <w:br/>
              <w:t>Seine Hauptbestandteile sind:</w:t>
            </w:r>
            <w:r>
              <w:t xml:space="preserve"> </w:t>
            </w:r>
            <w:r>
              <w:br/>
            </w:r>
            <w:r w:rsidRPr="006E3BEF">
              <w:rPr>
                <w:rStyle w:val="TEBISIOWorthervorhebung"/>
                <w:rFonts w:ascii="egyptienne f 55 roman" w:hAnsi="egyptienne f 55 roman"/>
                <w:bCs/>
                <w:color w:val="FF0000"/>
              </w:rPr>
              <w:t>Kies, Sand, Zement und Wasser.</w:t>
            </w:r>
          </w:p>
        </w:tc>
      </w:tr>
    </w:tbl>
    <w:p w14:paraId="3274C92E" w14:textId="77777777" w:rsidR="006E3BEF" w:rsidRDefault="006E3BEF" w:rsidP="006E3BEF">
      <w:r>
        <w:t xml:space="preserve">Allerdings: Damit eine Autobahnbrücke aus Beton auch die </w:t>
      </w:r>
      <w:proofErr w:type="spellStart"/>
      <w:r>
        <w:t>zigtausendfache</w:t>
      </w:r>
      <w:proofErr w:type="spellEnd"/>
      <w:r>
        <w:t xml:space="preserve"> Überfahrt von mehreren Tonnen schwere LKWs tragen kann, benötigt es noch etwas mehr. </w:t>
      </w:r>
    </w:p>
    <w:p w14:paraId="4556B996" w14:textId="77777777" w:rsidR="006E3BEF" w:rsidRDefault="006E3BEF" w:rsidP="006E3BEF"/>
    <w:p w14:paraId="2B1A7B19" w14:textId="77777777" w:rsidR="006E3BEF" w:rsidRDefault="006E3BEF" w:rsidP="006E3BEF">
      <w:r>
        <w:rPr>
          <w:noProof/>
          <w:lang w:val="de-CH" w:eastAsia="de-CH"/>
        </w:rPr>
        <w:drawing>
          <wp:anchor distT="0" distB="0" distL="114300" distR="114300" simplePos="0" relativeHeight="251661312" behindDoc="0" locked="0" layoutInCell="1" allowOverlap="1" wp14:anchorId="255C5511" wp14:editId="62382D2A">
            <wp:simplePos x="0" y="0"/>
            <wp:positionH relativeFrom="column">
              <wp:posOffset>-2400</wp:posOffset>
            </wp:positionH>
            <wp:positionV relativeFrom="paragraph">
              <wp:posOffset>98864</wp:posOffset>
            </wp:positionV>
            <wp:extent cx="2880000" cy="2402551"/>
            <wp:effectExtent l="0" t="0" r="0" b="0"/>
            <wp:wrapSquare wrapText="bothSides"/>
            <wp:docPr id="7" name="Grafik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rmierung_Intercontinental_bb.jpg"/>
                    <pic:cNvPicPr>
                      <a:picLocks noChangeAspect="1"/>
                    </pic:cNvPicPr>
                  </pic:nvPicPr>
                  <pic:blipFill>
                    <a:blip r:embed="rId9"/>
                    <a:srcRect r="4129"/>
                    <a:stretch/>
                  </pic:blipFill>
                  <pic:spPr bwMode="auto">
                    <a:xfrm>
                      <a:off x="0" y="0"/>
                      <a:ext cx="2880000" cy="2402550"/>
                    </a:xfrm>
                    <a:prstGeom prst="rect">
                      <a:avLst/>
                    </a:prstGeom>
                    <a:ln>
                      <a:noFill/>
                    </a:ln>
                  </pic:spPr>
                </pic:pic>
              </a:graphicData>
            </a:graphic>
            <wp14:sizeRelH relativeFrom="page">
              <wp14:pctWidth>0</wp14:pctWidth>
            </wp14:sizeRelH>
            <wp14:sizeRelV relativeFrom="page">
              <wp14:pctHeight>0</wp14:pctHeight>
            </wp14:sizeRelV>
          </wp:anchor>
        </w:drawing>
      </w:r>
      <w:r>
        <w:t xml:space="preserve">Hast du dich schon einmal gewundert, weshalb auf Baustellen immer so viele rostig-braune Metallstangen liegen? </w:t>
      </w:r>
    </w:p>
    <w:p w14:paraId="31F12C20" w14:textId="77777777" w:rsidR="006E3BEF" w:rsidRDefault="006E3BEF" w:rsidP="006E3BEF">
      <w:r>
        <w:t xml:space="preserve">Diese Stangen aus </w:t>
      </w:r>
      <w:r>
        <w:rPr>
          <w:i/>
        </w:rPr>
        <w:t>Stahl</w:t>
      </w:r>
      <w:r>
        <w:t xml:space="preserve"> spielen eine entscheidende Rolle, wenn es darum geht, einem Bauwerk </w:t>
      </w:r>
      <w:r>
        <w:rPr>
          <w:i/>
        </w:rPr>
        <w:t>Stabilität</w:t>
      </w:r>
      <w:r>
        <w:t xml:space="preserve"> zu verleihen:</w:t>
      </w:r>
    </w:p>
    <w:p w14:paraId="0C368A64" w14:textId="77777777" w:rsidR="006E3BEF" w:rsidRDefault="006E3BEF" w:rsidP="006E3BEF">
      <w:pPr>
        <w:rPr>
          <w:b/>
        </w:rPr>
      </w:pPr>
      <w:r w:rsidRPr="00051526">
        <w:rPr>
          <w:bCs/>
          <w:i/>
          <w:iCs/>
        </w:rPr>
        <w:t>„Armierung“</w:t>
      </w:r>
      <w:r>
        <w:rPr>
          <w:b/>
        </w:rPr>
        <w:t xml:space="preserve"> </w:t>
      </w:r>
      <w:r>
        <w:t>oder</w:t>
      </w:r>
      <w:r>
        <w:rPr>
          <w:b/>
        </w:rPr>
        <w:t xml:space="preserve"> </w:t>
      </w:r>
      <w:r w:rsidRPr="00051526">
        <w:rPr>
          <w:bCs/>
          <w:i/>
          <w:iCs/>
        </w:rPr>
        <w:t>„Bewehrung</w:t>
      </w:r>
      <w:r>
        <w:rPr>
          <w:b/>
        </w:rPr>
        <w:t xml:space="preserve">“ </w:t>
      </w:r>
      <w:r w:rsidRPr="00051526">
        <w:rPr>
          <w:bCs/>
        </w:rPr>
        <w:t>von Beton</w:t>
      </w:r>
      <w:r>
        <w:rPr>
          <w:b/>
        </w:rPr>
        <w:t xml:space="preserve"> </w:t>
      </w:r>
    </w:p>
    <w:p w14:paraId="2367CBBD" w14:textId="77777777" w:rsidR="006E3BEF" w:rsidRDefault="006E3BEF" w:rsidP="006E3BEF">
      <w:r>
        <w:t xml:space="preserve">Die Begriffe klingen nicht nur so, sie stammen auch aus der Militärtechnik. Heute sollen Armierungen nicht mehr nur militärische Befestigungsanlagen verstärken, sondern stecken in allen belastbaren Bauwerken. Dafür gibt es viele unterschiedliche Materialien und Systeme. </w:t>
      </w:r>
    </w:p>
    <w:p w14:paraId="5FFFC7FB" w14:textId="77777777" w:rsidR="006E3BEF" w:rsidRDefault="006E3BEF" w:rsidP="006E3BEF">
      <w:pPr>
        <w:rPr>
          <w:sz w:val="18"/>
          <w:szCs w:val="18"/>
        </w:rPr>
      </w:pPr>
    </w:p>
    <w:p w14:paraId="4123A03F" w14:textId="77777777" w:rsidR="00CD3C07" w:rsidRDefault="00CD3C07" w:rsidP="00C115EC">
      <w:pPr>
        <w:pStyle w:val="TEBISOberschrift1Ebene"/>
      </w:pPr>
    </w:p>
    <w:p w14:paraId="01861968" w14:textId="25EE46F1" w:rsidR="00B96E61" w:rsidRDefault="00B96E61" w:rsidP="00C115EC">
      <w:pPr>
        <w:pStyle w:val="TEBISOberschrift1Ebene"/>
        <w:rPr>
          <w:color w:val="808080" w:themeColor="background1" w:themeShade="80"/>
          <w:sz w:val="18"/>
          <w:szCs w:val="18"/>
        </w:rPr>
      </w:pPr>
    </w:p>
    <w:p w14:paraId="4124658A" w14:textId="2C583EBE" w:rsidR="00B96E61" w:rsidRDefault="00B96E61" w:rsidP="00C115EC">
      <w:pPr>
        <w:pStyle w:val="TEBISOberschrift1Ebene"/>
        <w:rPr>
          <w:color w:val="808080" w:themeColor="background1" w:themeShade="80"/>
          <w:sz w:val="18"/>
          <w:szCs w:val="18"/>
        </w:rPr>
      </w:pPr>
    </w:p>
    <w:p w14:paraId="506BD02C" w14:textId="531DF6F5" w:rsidR="00B96E61" w:rsidRDefault="00B96E61" w:rsidP="00C115EC">
      <w:pPr>
        <w:pStyle w:val="TEBISOberschrift1Ebene"/>
        <w:rPr>
          <w:color w:val="808080" w:themeColor="background1" w:themeShade="80"/>
          <w:sz w:val="18"/>
          <w:szCs w:val="18"/>
        </w:rPr>
      </w:pPr>
    </w:p>
    <w:p w14:paraId="3F980014" w14:textId="4547C865" w:rsidR="00B96E61" w:rsidRDefault="00B96E61" w:rsidP="00C115EC">
      <w:pPr>
        <w:pStyle w:val="TEBISOberschrift1Ebene"/>
        <w:rPr>
          <w:color w:val="808080" w:themeColor="background1" w:themeShade="80"/>
          <w:sz w:val="18"/>
          <w:szCs w:val="18"/>
        </w:rPr>
      </w:pPr>
    </w:p>
    <w:p w14:paraId="6DDFAF51" w14:textId="3955B475" w:rsidR="00B96E61" w:rsidRDefault="00B96E61" w:rsidP="00C115EC">
      <w:pPr>
        <w:pStyle w:val="TEBISOberschrift1Ebene"/>
        <w:rPr>
          <w:color w:val="808080" w:themeColor="background1" w:themeShade="80"/>
          <w:sz w:val="18"/>
          <w:szCs w:val="18"/>
        </w:rPr>
      </w:pPr>
    </w:p>
    <w:p w14:paraId="27F8B410" w14:textId="0B208F33" w:rsidR="00B96E61" w:rsidRDefault="00B96E61" w:rsidP="00C115EC">
      <w:pPr>
        <w:pStyle w:val="TEBISOberschrift1Ebene"/>
        <w:rPr>
          <w:color w:val="808080" w:themeColor="background1" w:themeShade="80"/>
          <w:sz w:val="18"/>
          <w:szCs w:val="18"/>
        </w:rPr>
      </w:pPr>
    </w:p>
    <w:p w14:paraId="7B2252A4" w14:textId="6EC969D7" w:rsidR="00B96E61" w:rsidRDefault="00B96E61" w:rsidP="00C115EC">
      <w:pPr>
        <w:pStyle w:val="TEBISOberschrift1Ebene"/>
        <w:rPr>
          <w:color w:val="808080" w:themeColor="background1" w:themeShade="80"/>
          <w:sz w:val="18"/>
          <w:szCs w:val="18"/>
        </w:rPr>
      </w:pPr>
    </w:p>
    <w:p w14:paraId="3FEE5E82" w14:textId="36AC6F61" w:rsidR="00B96E61" w:rsidRDefault="00B96E61" w:rsidP="00C115EC">
      <w:pPr>
        <w:pStyle w:val="TEBISOberschrift1Ebene"/>
        <w:rPr>
          <w:color w:val="808080" w:themeColor="background1" w:themeShade="80"/>
          <w:sz w:val="18"/>
          <w:szCs w:val="18"/>
        </w:rPr>
      </w:pPr>
    </w:p>
    <w:p w14:paraId="1039A107" w14:textId="0DE33348" w:rsidR="00B96E61" w:rsidRDefault="00B96E61" w:rsidP="00C115EC">
      <w:pPr>
        <w:pStyle w:val="TEBISOberschrift1Ebene"/>
        <w:rPr>
          <w:color w:val="808080" w:themeColor="background1" w:themeShade="80"/>
          <w:sz w:val="18"/>
          <w:szCs w:val="18"/>
        </w:rPr>
      </w:pPr>
    </w:p>
    <w:p w14:paraId="60330B4D" w14:textId="21456104" w:rsidR="00B96E61" w:rsidRDefault="00B96E61" w:rsidP="00C115EC">
      <w:pPr>
        <w:pStyle w:val="TEBISOberschrift1Ebene"/>
        <w:rPr>
          <w:color w:val="808080" w:themeColor="background1" w:themeShade="80"/>
          <w:sz w:val="18"/>
          <w:szCs w:val="18"/>
        </w:rPr>
      </w:pPr>
    </w:p>
    <w:p w14:paraId="3D3953B4" w14:textId="77777777" w:rsidR="00B96E61" w:rsidRDefault="00B96E61" w:rsidP="00C115EC">
      <w:pPr>
        <w:pStyle w:val="TEBISOberschrift1Ebene"/>
        <w:rPr>
          <w:color w:val="808080" w:themeColor="background1" w:themeShade="80"/>
          <w:sz w:val="18"/>
          <w:szCs w:val="18"/>
        </w:rPr>
      </w:pPr>
    </w:p>
    <w:p w14:paraId="74475C8F" w14:textId="0ED18D95" w:rsidR="00B96E61" w:rsidRPr="00B96E61" w:rsidRDefault="00B96E61" w:rsidP="00B96E61">
      <w:pPr>
        <w:pStyle w:val="TEBISIOAbbilungslegende"/>
        <w:rPr>
          <w:color w:val="808080" w:themeColor="background1" w:themeShade="80"/>
        </w:rPr>
      </w:pPr>
      <w:r w:rsidRPr="00B96E61">
        <w:rPr>
          <w:color w:val="808080" w:themeColor="background1" w:themeShade="80"/>
        </w:rPr>
        <w:t xml:space="preserve">Autobahnbrücke von unten: </w:t>
      </w:r>
      <w:hyperlink r:id="rId10" w:history="1">
        <w:r w:rsidRPr="00B96E61">
          <w:rPr>
            <w:rStyle w:val="Hyperlink"/>
            <w:color w:val="808080" w:themeColor="background1" w:themeShade="80"/>
            <w:u w:val="none"/>
          </w:rPr>
          <w:t>https://pixabay.com/de/photos/autobahn-unten-die-säulen-beton-4635311/</w:t>
        </w:r>
      </w:hyperlink>
      <w:r w:rsidRPr="00B96E61">
        <w:rPr>
          <w:color w:val="808080" w:themeColor="background1" w:themeShade="80"/>
        </w:rPr>
        <w:t xml:space="preserve"> (05.05.2021</w:t>
      </w:r>
      <w:r w:rsidR="0088779F">
        <w:rPr>
          <w:color w:val="808080" w:themeColor="background1" w:themeShade="80"/>
        </w:rPr>
        <w:t xml:space="preserve">) CC </w:t>
      </w:r>
      <w:proofErr w:type="spellStart"/>
      <w:r w:rsidR="0088779F">
        <w:rPr>
          <w:color w:val="808080" w:themeColor="background1" w:themeShade="80"/>
        </w:rPr>
        <w:t>By</w:t>
      </w:r>
      <w:proofErr w:type="spellEnd"/>
      <w:r w:rsidR="0088779F">
        <w:rPr>
          <w:color w:val="808080" w:themeColor="background1" w:themeShade="80"/>
        </w:rPr>
        <w:t xml:space="preserve"> SA 3.0</w:t>
      </w:r>
    </w:p>
    <w:p w14:paraId="34C40F2F" w14:textId="77777777" w:rsidR="0088779F" w:rsidRPr="00B96E61" w:rsidRDefault="00B96E61" w:rsidP="0088779F">
      <w:pPr>
        <w:pStyle w:val="TEBISIOAbbilungslegende"/>
        <w:rPr>
          <w:color w:val="808080" w:themeColor="background1" w:themeShade="80"/>
        </w:rPr>
      </w:pPr>
      <w:r w:rsidRPr="00B96E61">
        <w:rPr>
          <w:color w:val="808080" w:themeColor="background1" w:themeShade="80"/>
        </w:rPr>
        <w:t xml:space="preserve">Ausschnitt, Armierung: </w:t>
      </w:r>
      <w:hyperlink r:id="rId11" w:history="1">
        <w:r w:rsidRPr="00B96E61">
          <w:rPr>
            <w:rStyle w:val="Hyperlink"/>
            <w:color w:val="808080" w:themeColor="background1" w:themeShade="80"/>
            <w:u w:val="none"/>
          </w:rPr>
          <w:t>https://commons.wikimedia.org/wiki/File:Armierung_Intercontinental.jpg?uselang=de</w:t>
        </w:r>
      </w:hyperlink>
      <w:r w:rsidRPr="00B96E61">
        <w:rPr>
          <w:color w:val="808080" w:themeColor="background1" w:themeShade="80"/>
        </w:rPr>
        <w:t xml:space="preserve"> (10.02.2020)</w:t>
      </w:r>
      <w:r w:rsidRPr="00B96E61">
        <w:rPr>
          <w:color w:val="808080" w:themeColor="background1" w:themeShade="80"/>
        </w:rPr>
        <w:t xml:space="preserve"> </w:t>
      </w:r>
      <w:r w:rsidR="0088779F">
        <w:rPr>
          <w:color w:val="808080" w:themeColor="background1" w:themeShade="80"/>
        </w:rPr>
        <w:t xml:space="preserve">CC </w:t>
      </w:r>
      <w:proofErr w:type="spellStart"/>
      <w:r w:rsidR="0088779F">
        <w:rPr>
          <w:color w:val="808080" w:themeColor="background1" w:themeShade="80"/>
        </w:rPr>
        <w:t>By</w:t>
      </w:r>
      <w:proofErr w:type="spellEnd"/>
      <w:r w:rsidR="0088779F">
        <w:rPr>
          <w:color w:val="808080" w:themeColor="background1" w:themeShade="80"/>
        </w:rPr>
        <w:t xml:space="preserve"> SA 3.0</w:t>
      </w:r>
    </w:p>
    <w:p w14:paraId="119B8729" w14:textId="60873FEF" w:rsidR="00CD3C07" w:rsidRPr="00B96E61" w:rsidRDefault="00CD3C07" w:rsidP="00B96E61">
      <w:pPr>
        <w:pStyle w:val="TEBISIOAbbilungslegende"/>
        <w:rPr>
          <w:color w:val="808080" w:themeColor="background1" w:themeShade="80"/>
        </w:rPr>
      </w:pPr>
    </w:p>
    <w:sectPr w:rsidR="00CD3C07" w:rsidRPr="00B96E61" w:rsidSect="00564A1F">
      <w:headerReference w:type="defaul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9D2675" w14:textId="77777777" w:rsidR="006F5B19" w:rsidRDefault="006F5B19" w:rsidP="005952F4">
      <w:r>
        <w:separator/>
      </w:r>
    </w:p>
  </w:endnote>
  <w:endnote w:type="continuationSeparator" w:id="0">
    <w:p w14:paraId="7C906115" w14:textId="77777777" w:rsidR="006F5B19" w:rsidRDefault="006F5B19"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0"/>
    <w:family w:val="decorative"/>
    <w:pitch w:val="variable"/>
    <w:sig w:usb0="00000003" w:usb1="00000000" w:usb2="00000000" w:usb3="00000000" w:csb0="0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0000000000000000000"/>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9931F4" w14:textId="77777777" w:rsidR="006F5B19" w:rsidRDefault="006F5B19" w:rsidP="005952F4">
      <w:r>
        <w:separator/>
      </w:r>
    </w:p>
  </w:footnote>
  <w:footnote w:type="continuationSeparator" w:id="0">
    <w:p w14:paraId="30CE3A36" w14:textId="77777777" w:rsidR="006F5B19" w:rsidRDefault="006F5B19"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2C4E1" w14:textId="24BB0C8C" w:rsidR="00522437" w:rsidRPr="006E3BEF" w:rsidRDefault="006E3BEF" w:rsidP="006E3BEF">
    <w:pPr>
      <w:pStyle w:val="Kopfzeile"/>
    </w:pPr>
    <w:r w:rsidRPr="006E3BEF">
      <w:t>Lehreinheit Beton, Untereinheit 2, Theorieblatt 2.1c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F0045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6AF4C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EC27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94603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AF4D5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48A1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2289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8E90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7AAE9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28E5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4"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5"/>
  </w:num>
  <w:num w:numId="2">
    <w:abstractNumId w:val="10"/>
  </w:num>
  <w:num w:numId="3">
    <w:abstractNumId w:val="26"/>
  </w:num>
  <w:num w:numId="4">
    <w:abstractNumId w:val="30"/>
  </w:num>
  <w:num w:numId="5">
    <w:abstractNumId w:val="33"/>
  </w:num>
  <w:num w:numId="6">
    <w:abstractNumId w:val="32"/>
  </w:num>
  <w:num w:numId="7">
    <w:abstractNumId w:val="11"/>
  </w:num>
  <w:num w:numId="8">
    <w:abstractNumId w:val="16"/>
  </w:num>
  <w:num w:numId="9">
    <w:abstractNumId w:val="28"/>
  </w:num>
  <w:num w:numId="10">
    <w:abstractNumId w:val="12"/>
  </w:num>
  <w:num w:numId="11">
    <w:abstractNumId w:val="13"/>
  </w:num>
  <w:num w:numId="12">
    <w:abstractNumId w:val="24"/>
  </w:num>
  <w:num w:numId="13">
    <w:abstractNumId w:val="19"/>
  </w:num>
  <w:num w:numId="14">
    <w:abstractNumId w:val="34"/>
  </w:num>
  <w:num w:numId="15">
    <w:abstractNumId w:val="20"/>
  </w:num>
  <w:num w:numId="16">
    <w:abstractNumId w:val="17"/>
  </w:num>
  <w:num w:numId="17">
    <w:abstractNumId w:val="22"/>
  </w:num>
  <w:num w:numId="18">
    <w:abstractNumId w:val="14"/>
  </w:num>
  <w:num w:numId="19">
    <w:abstractNumId w:val="31"/>
  </w:num>
  <w:num w:numId="20">
    <w:abstractNumId w:val="25"/>
  </w:num>
  <w:num w:numId="21">
    <w:abstractNumId w:val="21"/>
  </w:num>
  <w:num w:numId="22">
    <w:abstractNumId w:val="29"/>
  </w:num>
  <w:num w:numId="23">
    <w:abstractNumId w:val="35"/>
  </w:num>
  <w:num w:numId="24">
    <w:abstractNumId w:val="18"/>
  </w:num>
  <w:num w:numId="25">
    <w:abstractNumId w:val="27"/>
  </w:num>
  <w:num w:numId="26">
    <w:abstractNumId w:val="2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1"/>
  <w:proofState w:spelling="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00CB"/>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3BEF"/>
    <w:rsid w:val="006E43DB"/>
    <w:rsid w:val="006E4F2D"/>
    <w:rsid w:val="006E70BA"/>
    <w:rsid w:val="006F1E5E"/>
    <w:rsid w:val="006F2734"/>
    <w:rsid w:val="006F5B19"/>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5555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79F"/>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6E61"/>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3C07"/>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E3BEF"/>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character" w:styleId="NichtaufgelsteErwhnung">
    <w:name w:val="Unresolved Mention"/>
    <w:basedOn w:val="Absatz-Standardschriftart"/>
    <w:uiPriority w:val="99"/>
    <w:semiHidden/>
    <w:unhideWhenUsed/>
    <w:rsid w:val="00B96E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ons.wikimedia.org/wiki/File:Armierung_Intercontinental.jpg?uselang=de" TargetMode="External"/><Relationship Id="rId5" Type="http://schemas.openxmlformats.org/officeDocument/2006/relationships/webSettings" Target="webSettings.xml"/><Relationship Id="rId10" Type="http://schemas.openxmlformats.org/officeDocument/2006/relationships/hyperlink" Target="https://pixabay.com/de/photos/autobahn-unten-die-s&#228;ulen-beton-4635311/"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AB540-BA8F-41D4-AA47-E4B54886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1</Pages>
  <Words>208</Words>
  <Characters>1315</Characters>
  <Application>Microsoft Office Word</Application>
  <DocSecurity>0</DocSecurity>
  <Lines>10</Lines>
  <Paragraphs>3</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Hägni, Ernest (SekAL)</cp:lastModifiedBy>
  <cp:revision>6</cp:revision>
  <cp:lastPrinted>2020-02-13T13:20:00Z</cp:lastPrinted>
  <dcterms:created xsi:type="dcterms:W3CDTF">2020-08-19T17:42:00Z</dcterms:created>
  <dcterms:modified xsi:type="dcterms:W3CDTF">2021-05-05T07:20:00Z</dcterms:modified>
</cp:coreProperties>
</file>